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11.06.2020, оставленным без изменения постановлением Десятого арбитражного апелляционного суда от 28.09.2020 и постановлением Арбитражного суда Московского округа от 15.04.2021, исковое заявление удовлетворено частично, с комитета в пользу предпринимателя взыскано 180 000 рублей убытков, в удовлетворении остальной части искового требования отказано. 2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Ступинского городского суда Московской области от 25.04.2017 по делу № 12-22/17 отменено вынесенное в отношении предпринимателя постановление по делу об административном правонарушении от 28.11.2016 № 18-287/2016, составленное начальником Серпуховского межрайонного территориального отдела Управления по работе с территориями комитета, в связи с отсутствием состава правонарушения. В целях представления интересов в судебных заседаниях по вышеуказанному делу об административном правонарушении, предпринимателем заключены договоры об оказании юридических услуг от 07.12.2016, от 09.12.2016 и от 19.05.2017 на общую сумму 180 000 рублей, а также заказано экспертное заключение стоимостью 20 000 рублей. Считая, что понесенные расходы на оплату услуг представителя в рамках административного производства являются убытками, причиненными ему действиями комитета, предприниматель обратился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учитывая разъяснения, изложенные в пункте 11 постановления Пленума Верховного Суда Российской Федерации от 23.06.2015 N 25 «О применении судами некоторых положений раздела I части первой Гражданского кодекса Российской Федерации», пришли к выводу о том, что исковое требование на сумму 180 000 рублей подлежит удовлетворению с учетом доказанности 3 предпринимателем причинно-следственной связи между указанными действиями и заявленными к взысканию убытками, с чем согласились суды апелляционной инстанции и округа. Суды указали, что вступившими в законную силу судебными актами Ступинского городского суда Московской области подтверждается участие представителя истца в заседаниях суда; факт оказания юридических услуг и их оплаты также подтверждается материалами дела. Отказывая во взыскании убытков в сумме 20 000 рублей, суды указали, что расходы истца на оплату экспертизы в указанном размере не подлежат удовлетворению, поскольку ходатайство предпринимателя о проведении данной экспертизы в рамках указанного дела судом отклонено. Доводы, изложенные в кассационной жалобе, повторяют позицию комитета по спору, являлись предметом рассмотрения судов,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лесного хозяйства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