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07.08.2020, оставленным без изменения постановлениями Девятого арбитражного апелляционного суда от 10.12.2020 и Арбитражного суда Московского округа от 07.04.2021, исковые требования удовлетворены частично, с войсковой части в пользу общества взысканы задолженность в размере 99 705 рублей и пени в сумме 4 340 рублей 48 копеек. В удовлетворении остальной части иска отказано. В кассационной жалобе, поданной в Верховный Суд Российской Федерации, войсковая часть ставит вопрос об отмене принятых по делу 2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войсковой частью (государственный заказчик) и обществом (исполнитель) заключен государственный контракт на оказание услуг по установке систем кондиционирования воздуха. Основанием для обращения в суд с настоящим иском послужила неполная оплата государственным заказчиком выполненных по контракту работ. Оценив представленные в материалы дела доказательства, суды, руководствуясь положениями статей 309, 310, 330, 779, 781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наличии оснований для взыскания с войсковой части задолженности и неустойки, при этом произвели ее перерасчет. Судебные инстанции исходили из доказанности факта оказания обществом услуг в заявленном размере и отсутствия каких-либо претензий со стороны ответчика. Доводы кассационной жалобы являлись предметом рассмотрения судов и получили надлежащую правовую оценку, не подтверждают существенных нарушений норм материального права и норм процессуального права, повлиявших на исход дела.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3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войсковой части 66631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