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30.11.2020, оставленным без изменения постановлениями Восьмого арбитражного апелляционного суда от 01.03.2021 и Арбитражного суда Западно-Сибирского округа от 17.05.2021, заявление общества удовлетворено. В кассационной жалобе счетная палата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отношении общества, акции которого находятся в муниципальной собственности, счетной палатой осуществлена проверка использования кредитных ресурсов, полученных под муниципальную гарантию, по результатам которой выявлены нарушения Градостроительного кодекса Российской Федерации, Федерального закона от 18.07.2011 № 223-ФЗ «О закупках товаров, работ, услуг отдельными видами юридических лиц», Положения о закупках товаров, работ и услуг для собственных нужд общества, в связи с чем выдано представление от 19.06.2020 № 65. Не соглашаясь с указанным ненормативным правовым актом счетной палаты, а также действиями по проведению контрольного мероприятия, общество обратилось в арбитражный суд.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суды пришли к выводу о наличии оснований для удовлетворения заявленных требований. При этом судебные инстанции исходили из отсутствия у счетной палаты компетенции на проведение проверок в отношении общества, не являющегося участником бюджетных отношений и получателем бюджетных средств, а также не имеющего муниципального имущества и не наделенного полномочиями на управление и распоряжение таким имуществом. Суды установили, что общество в силу статьи 266.1 Бюджетного кодекса Российской Федерации может являться объектом контроля, при этом проверка законности, результативности и целевого использования кредитных средств, полученных обществом по кредитному договору, заключенному с коммерческим банком, не включена в перечень полномочий контрольно-счетного органа муниципального образования. Кроме того, суды указали на нарушение положений постановления Правительства Российской Федерации от 03.04.2020 № 438 «Об особенностях 3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(далее - Постановление № 438), в связи с неисполнением счетной палатой обязанности по исключению из плана проверок в 2020 году контрольно-надзорных мероприятий в финансово-бюджетной сфере в отношении общества, не являющегося участником бюджетного процесса. Доводы кассационной жалобы являлись предметом рассмотрения судов и получили надлежащую правовую оценку с учетом установленных по делу обстоятельств,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Счетной палате города Ханты-Мансийска в лице Думы города Ханты-Мансийска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