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условия и порядок восстановления срока подачи кассационной жалобы указаны в статье 117 , пунктах 2, 3 статьи 291.2 Арбитражного процессуального кодекса Российской Федерации. Оценив доводы, изложенные в ходатайстве заявителя, судья находит их обоснованными, а ходатайство подлежащим удовлетворению. Руководствуясь статьями 117 , 184 , 291.2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ФИО1 удовлетворить. Срок подачи кассационной жалобы на определение Арбитражного суда Краснодарского края от 14.08.2019, постановление Пятнадцатого арбитражного апелляционного суда от 06.11.2019 и постановление Арбитражного суда Северо-Кавказского округа от 03.02.2020 по делу № А32-35684/2019 восстановить. Судья С.В. Самуйлов Суд: Верховный Суд РФ (подробнее) Истцы: УФНС России по Краснодарскому краю (подробнее) Федеральная налоговая служба (подробнее) Иные лица: Финансовый управляющий Корнев Владимир Федорович (подробнее) Судьи дела: Самуйлов С.В. (судья) (подробнее) Последние документы по делу: Определение от 15 июня 2020 г. по делу № А32-35684/2019 Определение от 7 мая 2020 г. по делу № А32-35684/2019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