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04.10.2020, оставленным без изменения постановлением Второго арбитражного апелляционного суда от 11.02.2021, с общества в пользу предпринимателя взыскано 1 476 200 руб. долга, 150 000 руб. неустойки с последующим ее начислением по день фактической оплаты долга, начиная с 07.03.2020, в удовлетворении остальной части исковых требований отказано. Арбитражный суд Волго-Вятского округа постановлением от 19.05.2021 отменил решение суда первой инстанции, постановление суда апелляционной инстанции в части взыскания с общества в пользу предпринимателя неустойки с 07.03.2020 по день фактической оплаты долга и направил дело в отмененной части на новое рассмотрение в Арбитражный суд Республики Коми; в остальной части оставил судебные акты без изменения. 2 В кассационной жалобе, поданной в Верховный Суд Российской Федерации, предприниматель,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в части и направляя дело на новое рассмотрение, суд округа указал, что судами не рассмотрено заявление общества о применении к спорной неустойке положений статьи 333 Гражданского кодекса Российской Федерации.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Калинина Сергея Валентиновича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