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19.10.2020 в удовлетворении иска отказано. Постановлением Пятнадцатого арбитражного апелляционного суда от 17.12.2020 решение суда первой инстанции изменено, с общества в пользу управления взыскано неосновательное обогащение в размере 1 350 000 рублей, а также почтовые расходы в сумме 37 рублей. В удовлетворении остальной части иска отказано. Арбитражный суд Северо-Кавказского округа постановлением от 06.04.2021 постановление суда апелляционной инстанции оставил без изменения. В кассационной жалобе, поданной в Верховный Суд Российской Федерации, общество ссылается на существенное нарушение норм 2 материального права,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(заказчик) и обществом (подрядчик) заключен муниципальный контракт от 06.05.2019 на выполнение проектных и изыскательских работ. В связи с ненадлежащим исполнением обязательств со стороны подрядчика заказчиком принято решение об одностороннем расторжении контракта, а также предъявлено требование о возврате перечисленного аванса и уплаты штрафа. Оставление претензии без удовлетворения послужило основанием для обращения управления в арбитражный суд. Суд первой инстанции, отказывая в удовлетворении иска, исходил из наличия вины заказчика (не предоставление исходной документации) в нарушении подрядчиком срока выполнения работ, а также потребительской ценности выполненных проектных и изыскательских работ на сумму перечисленных денежных средств в размере 1 350 000 рублей. Суд указал, что выполненные работы могут быть использованы заказчиком при заключении нового контракта, поскольку приняты без возражений по качеству и объему. Изменяя решение суда первой инстанции и удовлетворяя требования управления в части взыскания неотработанного аванса, суд апелляционной инстанции, оценив представленные в материалы дела доказательства, руководствуясь положениями статей 309, 310, 702, 708, 711, 716, 720, 753, 758, 760 Гражданского кодекса Российской Федерации, пришел к выводу о возникновении на стороне управления права требовать с общества возврата неотработанного перечисленного в счет исполнения договора авансового платежа. Суд апелляционной инстанции исходил из того, что переданный подрядчиком результат работ не может представлять для заказчика потребительской ценности, в связи с чем в отсутствие доказательств передачи 3 заказчику установленного контрактом результата работ в согласованные сроки у общества нет оснований для удержания денежных средств. Оставляя без изменения решение суда первой инстанции в части отказа во взыскании штрафа, апелляционный суд также указал на отсутствие вины подрядчика в нарушении сроков выполнения работ ввиду неисполнения заказчиком обязанности по предоставлению всех исходных данных. Суд округа поддержал выводы суда апелляционной инстанции.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«Новый 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