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14.09.2020, оставленным без изменения постановлением Восьмого арбитражного апелляционного суда от 22.12.2020 и постановлением Арбитражного суда Западно-Сибирского округа от 08.04.2021,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руководствуясь статьями 421, 431, 779, 781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того, что затраты общества на содержание или аренду вагона-дома подлежат возмещению компанией только при наличии доказательств их фактического несения истцом, однако таких доказательств в материалах дела не имеется.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