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Коми от 28.12.2020, оставленным без изменения постановлением Второго арбитражного апелляционного суда от 10.02.2021 и постановлением Арбитражного суда Волго-Вятского округа от 06.04.2021, исковое заявление компании оставлено без рассмотрения.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направить дело на новое рассмотрение в Арбитражный суд Республики Коми.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Оставляя исковое заявление без рассмотрения, суды руководствовались положениями пункта 4 части 1 статьи 148 Арбитражного процессуального кодекса Российской Федерации, статей 5, 126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23.07.209 № 63 «О текущих платежах по денежным обязательствам в деле о банкротстве», и исходили из того, что заявленные требования подлежат рассмотрению в рамках дела о банкротстве ответчика.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«Межрегиональная распределительная сетевая компания Северо-Запад»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