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16.10.2020, оставленным без изменения постановлениями Восемнадцатого арбитражного апелляционного суда от 18.01.2021 и Арбитражного суда Уральского округа от 29.04.2021, в удовлетворении заявления отказано. В кассационной жалобе (и дополнении к ней) общество ставит вопрос об отмене принятых по делу судебных актов, ссылаясь на нарушение его прав и законных интересов в результате неправильного применения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по всем налогам и сборам за период с 01.01.2014 по 31.12.2016, проведенной налоговым органом совместно с сотрудниками полиции в отношении общества, инспекцией составлен акт выездной налоговой проверки от 16.07.2018 № 16-26/1. Внесение изменений в указанный акт проверки послужило основанием для обращения общества в арбитражный суд. Оценив представленные в материалы дела доказательства, суды, руководствуясь положениями статей 21 , 31 , 33 , 89 , 100 , 101 Налогового кодекса Российской Федерации, пришли к выводу об отсутствии оснований для удовлетворения заявленных требований Судебные инстанции исходили из того, что акт налоговой проверки и изменения, внесенные в него, не обладают признаками, присущими ненормативному акту, не имеют самостоятельного характера; изменения, внесенные в акт, являются корректировкой обстоятельств, выявленных при проведении дополнительных мероприятий налогового контроля. Кроме того, суды признали отсутствующим нарушение прав и законных интересов общества. Суды отметили, что оспариваемые изменения от 27.12.2019, внесенные в акт проверки от 16.07.2018, подлежат исследованию в рамках рассмотрения дела № А47- 4722/2020 об оспаривании решения налогового органа от 10.02.2020 № 16-25/832 о привлечении к ответственности за совершение налогового правонарушения.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По существу доводы жалобы с учетом фактических обстоятельств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«Форвард»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"Торговый дом "Форвард" (подробнее) Ответчики: Инспекция Федеральной налоговой службы по Ленинскому району города Оренбурга (подробнее) Иные лица: Арбитражный суд Уральского округа (подробнее) Восемнадцатый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