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11.09.2020, оставленным без изменения постановлениями Девятого арбитражного апелляционного суда от 25.01.2021 и Арбитражного суда Московского округа от 05.05.2021, в удовлетворении заявления отказано. 2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 от 11.09.2018 ФС № 024604207, выданного Арбитражным судом города Москвы по делу № А40-111277/2017, в отношении общества (должник) возбуждено исполнительное производство № 5011532/18/99001-ИП. В связи с неисполнением требований, содержащихся в исполнительном документе в срок, установленный для добровольного исполнения, судебным приставом-исполнителем вынесено постановление от 20.02.2020 о взыскании исполнительского сбора в размере 203 160 433 рублей 02 копеек, в освобождении от уплаты которого, а также снижении его размера определением Арбитражного суда города Москвы от 03.09.2020 по делу № А40-111277/2017 было отказано. Полагая, что постановление судебного пристава-исполнителя от 20.02.2020 о взыскании исполнительского сбора является незаконным, общество обратилось в арбитражный суд. Отказывая в удовлетворении заявления, суды, исследовав и оценив представленные в материалы дела доказательства, руководствуясь положениями статей 198, 201, 256.12, 329 Арбитражного процессуального кодекса Российской Федерации, статей 1, 2, 12, 14, 30, 64, 112 Федерального закона от 02.10.2007 № 229-ФЗ «Об исполнительном производстве», разъяснениями, изложенными в постановлении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пришли к выводу о том, что оспариваемое постановление судебного пристава-исполнителя о взыскании исполнительского сбора соответствует действующему законодательству и не нарушает права и законные интересы заявителя. 3 Судебные инстанции исходили из того, что исполнительский сбор взыскан правомерно в связи с неисполнением должником требований исполнительного документа в срок, установленный для его добровольного исполнения. При исследовании обстоятельств дела не установлено, что нарушение установленного срока исполнения исполнительного документа вызвано чрезвычайными, объективно непредотвратимыми обстоятельствами и другими непреодолимыми препятствиями, находящимися вне контроля должника, при соблюдении той степени заботливости и осмотрительности, какая требовалась от него в целях надлежащего исполнения. Кроме того, суды отметили, что в материалах дела отсутствуют обстоятельства, в связи с которыми закон предусматривает возможность уменьшения размера исполнительского сбора или освобождение от его уплаты. Доводы кассационной жалобы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частному акционерному обществу «Юкрейниан Кемикал Продактс»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