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29.10.2020, оставленным без изменения постановлением Десятого арбитражного апелляционного суда от 19.01.2021 и постановлением Арбитражного суда Московского округа от 13.04.2021, в удовлетворении иска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исковое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17.07.2018 министерством и предпринимателем (участником программы) заключено соглашение № 3 о предоставлении средств бюджета Московской области в виде гранта на развитие семейной животноводческой фермы в размере 13 820 535 рублей, из них средств федерального бюджета 5 597 320 рублей, средств бюджета Московской области в соответствии с установленным уровнем софинансирования со средствами федерального бюджета 4 768 093 рубля 24 копейки; средств бюджета Московской области сверх установленного уровня софинансирования 3 455 121 рубль 76 копеек. Грант предоставляется в целях модернизации фермы на 120 голов крупного рогатого скота, приобретения оборудования для фермы, покупки сельскохозяйственных животных. Указанные денежные средства перечислены предпринимателю платежными поручениями от 26.07.2018 № 1008, от 24.07.2018 № 1012. По результатам проведения проверки контрольным органом установлено, что в нарушение абзаца 6 пункта 8 Порядка предоставления средств из бюджета Московской области на поддержку начинающих фермеров в Московской области, утвержденного постановлением Правительства Московской области от 26.06.2012 № 866/22 (далее - Порядок), принята и отобрана заявка предпринимателя на участие в конкурсе при несоответствии крестьянского (фермерского) хозяйства предпринимателя критериям микропредприятия, установленным Федеральным законом от 24.07.2007 № 209-ФЗ «О развитии малого и среднего предпринимательства в Российской Федерации» (далее - Закон № 209-ФЗ). Так, согласно сведениям Межрайонной инспекции Федеральной налоговой службы № 19 по Московской области по состоянию на 01 января 2017 года и на 01 января 2018 года среднесписочная численность работников хозяйства составляет 22 человека. В связи с выявленным нарушением порядка предоставления гранта министерство направило предпринимателю требование о возврате денежных средств, полученных в форме гранта, в полном размере, неисполнение которого послужило основанием для обращения министерства в арбитражный суд. Отказывая в удовлетворении искового заявления, суды, руководствуясь положениями Бюджетного кодекса Российской Федерации, Закона № 209-ФЗ, пришли к выводу об отсутствии оснований для взыскания с ответчика заявленных сумм гранта. 3 Судебные инстанции исходили из того, что при подаче заявки предприниматель представил все необходимые документы, в том числе справку о количестве работающих в хозяйстве человек. Основания для отказа в предоставлении гранта после проверки их достоверности компетентной комиссией не выявлены. Суды также отметили, что порядком регулируются не только действия получателей субсидии, но и процедура работы конкурсной комиссии по рассмотрению заявок претендентов, в обязанности которой входит рассмотрение поданных пакетов документов и проверка отраженных в них сведений. Субсидия предоставлена предпринимателю ввиду соответствующего положительного решения конкурсной комиссии, фактов недостоверности предоставленных им сведений выявлено не было. Соглашение, заключенное между предпринимателем и министерством, является действующим, в установленном законом порядке не расторгнуто и недействительным не признано. Таким образом, суды заключили, что у предпринимателя отсутствует обязанность возврата полученной субсидии, в связи с чем отказали в удовлетворении искового заявления. Доводы, изложенные в кассационной жалобе, повторяют позицию министерства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