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августа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суда первой инстанции от 02.10.2020, оставленным без изменения постановлениями Девятого арбитражного апелляционного суда от 28.12.2020 и Арбитражного суда Московского округа от 14.04.2021, в удовлетворении иска отказано. В кассационной жалобе, поданной в Верховный Суд Российской Федерации, общество ставит вопрос об отмене принятых по делу судебных 2 актов, ссылаясь на существенное нарушение норм права, несоответствие выводов судов фактическим обстоятельствам дела.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учреждением (государственный заказчик) и обществом (генеральный подрядчик) заключен государственный контракт на выполнение подрядных работ по строительству объекта капитального строительства. В связи с нарушением обществом обязательств по контракту учреждением произведено начисление штрафа в размере 36 428 154 рублей, который удержан государственным заказчиком из оплаты выполненных генеральным подрядчиком работ. Полагая, что удержание штрафа необоснованно, а его размер несоразмерен последствиям нарушения обязательств, общество обратилось в арбитражный суд. Оценив представленные в материалы дела доказательства, суды, руководствуясь положениями статей 309, 310, 329, 330, 401, 702, 740, 763, 1102 Гражданского кодекса Российской Федерации, Федерального закона от 05.04.2013 № 44-ФЗ «О контрактной системе в сфере закупок товаров, работ, услуг для обеспечения государственных и муниципальных нужд», отказали в удовлетворении заявленных исковых требований. Судебные инстанции исходили из отсутствия доказательств необоснованности удержания учреждением штрафных санкций и несоразмерности заявленной ко взысканию неустойки последствиям нарушения обязательств. С учетом изложенного, приведенные в жалобе доводы не свидетельствуют о существенных нарушениях судами норм материального и процессуального 3 права, повлиявших на исход дела, направлены на переоценку доказательств по делу и установленных фактических обстоятельств, что не входит в полномочия суда при кассационном производстве, являлись предметом рассмотрения судов, получили надлежащую правовую оценку с учетом установленных обстоятельств дела и мотивированно отклонены, в связи с чем не могут служить основанием для пересмотра судебных актов в кассационном порядке.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акционерному обществу «Московская Инженерно-Строительная Компания»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