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03.11.2020, оставленным без изменения постановлением Девятого арбитражного апелляционного суда от 20.01.2021, заявленное требование удовлетворено. 2 Постановлением Арбитражного суда Московского округа от 07.05.2021 указанные судебные акты отменены, дело направлено на новое рассмотрение в Арбитражный суд города Москвы. Общество обратилось в Верховный Суд Российской Федерации с кассационной жалобой, в которой просит постановление суда округа отменить, считая его принятым с нарушением норм материального и процессуального права. Изучив изложенные в кассационной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Суд округа отменил решение суда первой инстанции и направил дело на новое рассмотрение, действуя в пределах полномочий, предоставленных ему статьей 287 Арбитражного процессуального кодекса Российской Федерации, по основаниям, предусмотренным статьей 288 названного Кодекса. При этом суд округа указал на необходимость судам исследовать и оценить все представленные доказательства и доводы участвующих в деле лиц, дополнительно выяснить обстоятельства, имеющие значение для правильного рассмотрения дела, и с учетом установленных обстоятельств принять обоснованное решение.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3 Поскольку заявитель в силу статьи 41 Арбитражного процессуального кодекса Российской Федерации не лишен возможности приводить свои доводы по всем возникающим в ходе рассмотрения дела вопросам, представлять доказательства, а также отстаивать свою позицию доступными процессуальными способами при новом рассмотрении дела, основания для передачи жалобы для рассмотрения в судебном заседании Судебной коллегии по экономическим спорам Верховного Суда Российской Федерации обжалуемого судебного акта в порядке кассационного производства отсутствуют. При указанных обстоятельствах доводы жалобы не являются достаточными в целях передачи жалоб для рассмотрения в судебном заседании Судебной коллегии по экономическим спорам Верховного Суда Российской Федерации. Учитывая изложенное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