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Ивановской области от 31.01.2018 заявленное требование удовлетворено. Постановлением Второго арбитражного апелляционного суда от 18.12.2020 решение суда первой инстанции отменено, оспариваемое постановление изменено в части назначенного наказания, размер штрафа снижен до 769 420 рублей. Постановлением Арбитражного суда Волго-Вятского округа от 14.04.2021 постановление апелляционного суда оставлено без изменения. Антимонопольный орган обратился в Верховный Суд Российской Федерации с кассационной жалобой, в которой просит постановление 2 апелляционного суда и постановление суда округа отменить, принять новый судебный акт об отказе обществу в удовлетворении заявленного требования.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Руководствуясь положениями Федерального закона от 26.07.2006 № 135-ФЗ «О защите конкуренции» апелляционный суд признал доказанным нарушение обществом антимонопольного законодательства, выразившегося в заключении антиконкурентного соглашения, что привело к поддержанию цен на торгах, и пришел к выводу о наличии в действиях общества состава вмененного административного правонарушения; однако, установив наличие исключительных обстоятельств, связанных с характером нарушения и его последствиями, имущественным и финансовым положением лица, учитывая принципы справедливости, неотвратимости и целесообразности наказания, снизил размер назначенного обществу административного штрафа ниже низшего предела санкции нормы. Суд округа согласился с выводами апелляционного суда. Обжалуя указанные судебные акты, антимонопольный орган приводит доводы об отсутствии оснований для изменения размера назначенного обществу административного штрафа за вмененное правонарушение. Вместе с тем, указанные доводы являлись предметом рассмотрения судов и получили надлежащую правовую оценку применительно к установленным обстоятельствам совершенного обществом правонарушения и наказанию, подлежащему применению. При этом положения частей 3.2 и 3.3 статьи 4.1 Кодекса Российской Федерации об административных правонарушениях применены судом в целях установления той меры наказания, которая, не утрачивая своего предназначения, также отвечает принципам юридической ответственности. 3 Оснований не согласиться с установленными обстоятельствами и выводами судов не имеется. Доводы антимонопольного органа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