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07.02.2020, оставленным без изменения постановлением Третьего арбитражного апелляционного суда от 15.06.2020, в удовлетворении заявленных требований отказано. 2 Постановлением Арбитражного суда Восточно-Сибирского округа от 02.04.2021 указанные судебные акты отменены, заявленные требования удовлетворены. Антимонопольный орган обратился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статей 14, 36, 51 Федерального закона от 26.07.2006 №135-ФЗ «О защите конкуренции», суд округа отменил решение суда первой инстанции и постановление апелляционного суда, признав, что вступившим в законную силу судебным актом установлена незаконность выданного антимонопольным органом предписания, за неисполнение которого лицо в настоящем деле привлечено к административной ответственности. Приведенные антимонопольным органом в жалобе доводы о законности предписания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