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28.09.2020, оставленным без изменения постановлением Двадцатого арбитражного 2 апелляционного суда от 10.12.2020, в удовлетворении заявленного требования отказано. Постановлением Арбитражного суда Центрального округа от 26.04.2021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статей 64, 65 Таможенного кодекса Таможенного союза, статей 198, 200 Арбитражного процессуального кодекса Российской Федерации, суды отказали в удовлетворении требований, не установив оснований для признания оспариваемых решений недействительными, и признав, что обществом не представлены в таможенный орган запрошенных документов и пояснений, надлежащим образом обосновывающие заявленную стоимость. Доводы жалобы повторяют позицию общества по делу, являлись предметом рассмотрения судов и получили исчерпывающую правовую оценку исходя из установленных обстоятельств и представленных сторонами доказательств,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