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10.02.2021, в иске отказано. Постановлением Арбитражного суда Московского округа от 02.06.2021 указанные судебные акты оставлены без изменения. Истец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383 , 384 Гражданского кодекса Российской Федерации, статьи 12 Федерального закона от 25.04.2002 № 40-ФЗ «Об обязательном страховании гражданской ответственности владельцев транспортных средств», суды в иске отказали, в том числе, с учетом условий договора цессии и правовой позиции, изложенной в пунктах 70 и 71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средств». Доводам кассационной жалобы, заявлявшимся в судах при рассмотрении дела, дана надлежащая правовая оценка с учетом конкретных установленных судами обстоятельств объема передаваемых прав. Ссылка на определение Верховного Суда Российской Федерации от 02.07.2019 № 50-КГ19-3 подлежит отклонению, поскольку в приведенном деле вопрос касался требований, возникших в результате повреждения транспортного средства, а не возмещения вреда здоровью, как в настоящем деле.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"СУДЗАКОН" (подробнее) Ответчики: ООО "Группа Ренессанс Страхование" (подробнее) Иные лица: ООО "Юрист-авто"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