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Брянской области от 16.10.2020, оставленным без изменения постановлением Двадцатого арбитражного апелляционного суда от 22.12.2020, в удовлетворении заявленного требования отказано. 2 Постановлением Арбитражного суда Центрального округа от 21.04.2021 указанные судебные акты оставлены без изменения. Общество обратилось в Верховный Суд Российской Федерации с кассационной жалобой на состоявшиеся по делу судебные акты, ссылаясь на допущенные, по его мнению, существенные нарушения норм материального и процессуального права.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Оценив представленные доказательства, руководствуясь положениями статьи 310, 314 Таможенного кодекса Евразийского экономического союза, Протокола между Правительством Российской Федерации и Правительством Республики Сербии об изъятиях из режима свободной торговли к Соглашению подписан в г. Белграде 03.04.2009, статьи 36 Закона РФ от 21.05.1993 № 5003-1 «О таможенном тарифе», статей 198, 200 Арбитражного процессуального кодекса Российской Федерации, суды отказали в удовлетворении заявленного требования, признав отсутствие документов, подтверждающих происхождение товара, что не позволяет осуществить проверку достоверности сведений о происхождении спорных товаров и подтвердить право на заявленные преференции. Доводам кассационной жалобы, заявлявшимся в судах при рассмотрении дела, дана надлежащая правовая оценка с учетом представленных доказательств, указанные доводы сводятся к переоценке установленных судами фактических обстоятельств, что не входит в полномочия Верховного Суда Российской Федерации.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3 Учитывая изложенное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