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20.11.2020, оставленным без изменения постановлением Шестнадцатого арбитражного апелляционного суда от 22.01.2021, арбитражный управляющий привлечен к административной ответственности, предусмотренной частью 3 статьи 14.13 Кодекса Российской Федерации об административных правонарушениях и ему назначено наказание в виде предупреждения. 2 Постановлением Арбитражного суда Северо-Кавказского округа от 09.04.2021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Установив несоблюдения арбитражным управляющим требований пункта 4 статьи 20.3, пункта 2 статьи 133, абзаца 2 пункта 2 статьи 142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Доводы, изложенные в кассационной жалобе, являлись предметом рассмотрения судов и им дана исчерпывающая надлежащая правовая оценка, не согласиться с которой оснований не имеется. При этом особый публично-правовой статус арбитражного управляющего обусловливает право законодателя предъявлять к нему специальные требования и устанавливать повышенные меры административной ответственности за совершенные им правонарушения (Определение Конституционного Суда Российской Федерации от 03.07.2014 №1552-О).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