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21.10.2020, оставленным без изменения постановлением Шестнадцатого арбитражного апелляционного суда от 31.12.2020, в удовлетворении требования отказано. Постановлением Арбитражного суда Северо-Кавказского округа от 09.04.2021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38, 313 Таможенного кодекса Евразийского экономического союза, статей 198, 200 Арбитражного процессуального кодекса Российской Федерации, суды отказали в удовлетворении требования, признав, что таможенным органом доказана правомерность принятия оспариваемых решений, в отсутствие надлежащего подтверждения обществом заявленной таможенной стоимости ввезенного товара. Доводы жалобы не подтверждают существенные нарушения норм материального и (или) процессуального права, которые могли повлиять на исход дела, и не являются достаточными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