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05.10.2020, оставленным без изменения постановлениями Пятнадцатого арбитражного апелляционного суда от 30.12.2020 и Арбитражного суда Северо-Кавказского округа от 16.04.2021, в удовлетворении заявленного требования отказано. В кассационной жалобе (и дополнении к ней)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(и дополнения к ней)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проведения проверки исполнения требований ранее выданных предписаний инспекцией установлено, что обществом в установленный срок не исполнены требования предписания от 19.03.2019 № 000926, выданного за нарушение норм действующего законодательства при управлении многоквартирным домом, в части обеспечения свободного доступа к внутридомовому газовому оборудованию. Указанное обстоятельство послужило основанием для выдачи обществу повторного предписания от 16.08.2019 № 002362 о необходимости принять исчерпывающие меры по обеспечению свободного доступа к внутридомовому газовому оборудованию (газопроводу). Основанием для выдачи предписания от 24.12.2019 № 003200 послужил факт невыполнения обществом требований предписания от 16.08.2019 № 002362. Не согласившись с предписанием инспекции от 24.12.2019 № 003200,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статьи 161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Минимальным перечнем выполняемых работ (оказываемых услуг) по техническому обслуживанию и ремонту внутридомового и (или) внутриквартирного газового оборудования, являющимся приложением к Правилам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утвержденным постановлением Правительства Российской Федерации от 03.04.2013 № 290, Инструкцией по безопасному использованию газа при удовлетворении коммунально-бытовых нужд, утвержденной приказом Минстроя России от 05.12.2017 № 1614/пр, пришли к выводу о наличии у инспекции правовых оснований для выдачи оспариваемого предписания. Судебные инстанции исходили из нарушения обществом правил содержания общего имущества, выразившегося в необеспечении в 3 многоквартирном доме свободного доступа к внутридомовому газовому оборудованию (газопроводу). При этом суд округа отметил, что обществом не предприняты все зависящие от него меры по исполнению законодательства, как в части организации работы с жильцами, так и в части изучения возможности переноса отдельного участка газопровода; наличие либо отсутствие в действиях жильцов нарушений жилищного законодательства не устраняет обязанностей управляющей компании по безопасной эксплуатации внутридомового газового оборудования (газопровода), прямо предусмотренных для такой организации законом. Возражения жалобы о не привлечении к участию в деле собственников квартир, чьи интересы могли быть нарушены при рассмотрении настоящего спора,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Доводы кассационной жалобы основаны на ошибочном толковании норм права,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направлены на переоценку установленных фактических обстоятельств дела и представленных в материалы дела доказательств,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«Барристер»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