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17.11.2020 завершена процедура реализации имущества гражданина в отношении Чистяковой Виктории Владимировны, должник не освобожден от дальнейшего исполнения требований кредиторов. Постановлением Второго арбитражного апелляционного суда от 12.03.2021 определение суда первой инстанции оставлено без изменения. Арбитражный суд Волго-Вятского округа постановлением от 24.05.2021 указанные судебные акты оставил без изменения. Чистякова Виктория Владимировна обратилась в Судебную коллегию Верховного Суда Российской Федерации с кассационной жалобой на принятые по делу судебные акты в части не применения правил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4 статьи 213.28 Федерального закона от 26.10.2002 № 127-ФЗ «О несостоятельности (банкротстве)»,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Чистяковой Виктории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