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26.10.2020, оставленным без изменения постановлением Первого арбитражного апелляционного суда от 18.01.2021, заявленные требования удовлетворены. Постановлением Арбитражного суда Волго-Вятского округа от 05.04.2021 указанные судебные акты оставлены без изменения. Таможенный орган обратился в Верховный Суд Российской Федерации с кассационной жалобой на состоявшиеся по делу судебные акты,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112, 115, 338 Таможенного кодекса Евразийского экономического союза, статей 198 , 200 Арбитражного процессуального кодекса Российской Федерации, суды удовлетворили требования, признав, что таможенным органом не доказана правомерность принятия оспариваемых решений. Приведенные в жалобе доводы были предметом изучения судов и отклонены судами в отсутствие доказательств недостоверности представленных документов. Доводы жалобы не подтверждают существенные нарушения норм материального и (или) процессуального права, которые могли повлиять на исход дела, и не являются достаточными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фирма "Август" (подробнее) Ответчики: НИЖЕГОРОДСКАЯ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