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07.11.2019, оставленным без изменения постановлением Тринадцатого арбитражного апелляционного суда от 13.02.2020, заявленные требования удовлетворены. 2 Постановлением Арбитражного суда Северо-Западного округа от 09.06.2020 указанные судебные акты отменены, дело направлено на новое рассмотрение в суд первой инстанции. При новом рассмотрении дела к участию в деле в качестве третьего лица, не заявляющего самостоятельных требований относительно предмета спора, судом первой инстанции привлечено акционерное общество «Сорок второй трест». Решением Арбитражного суда города Санкт-Петербурга и Ленинградской области от 07.10.2020 заявленные требования удовлетворены. Постановлением Тринадцатого арбитражного апелляционного суда от 23.12.2020 названное решение суда первой инстанции отменено, в удовлетворении заявленных требований отказано. Постановлением Арбитражного суда Северо-Западного округа от 13.04.2021 постановление апелляционного суда оставлено без изменения. Цейтлина О.С. просит отменить обжалуемые судебные акты, оставить в силе решение суда первой инстанции от 07.10.2020. Основания для пересмотра судебных актов в кассационном порядке по доводам жалобы отсутствуют. Как следует из судебных актов, определением административного органа, вынесенным по итогам рассмотрения заявления Цейтлиной О.С., отказано в возбуждении в отношении акционерного общества «Сорок второй трест» дела об административном правонарушении, предусмотренном частью 1 статьи 15.19 Кодекса Российской Федерации об административных правонарушениях. Частью 1 статьи 15.19 Кодекса Российской Федерации об административных правонарушениях предусмотрена административная ответственность за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3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статьей 19.7.3 настоящего Кодекса, если эти действия (бездействие) не содержат уголовно наказуемого деяния Руководствуясь положениями статей 89, 91 Федерального закона от 26.12.1995 № 208-ФЗ «Об акционерных обществах», апелляционный суд отменил решение суда первой инстанции, признав, что у административного органа отсутствовали достаточные основания для возбуждения дела об административном правонарушении при установленных обстоятельствах соблюдения прав акционера на получение информации.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обстоятельств не приведено с учетом полученного акционером объема сведений, а также с учетом правовой позиции относительно целей получения документов, изложенной в пункте 15 Информационного письма 4 Президиума Высшего Арбитражного Суда Российской Федерации от 18.01.2011 № 144. Несогласие заявителя с толкованием судебными инстанциями правовых норм, подлежащих применению к спорным правоотношениям,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