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17.11.2020, оставленным без изменения постановлением Пятого арбитражного апелляционного суда от 22.01.2021, заявленные требования удовлетворены. 2 Постановлением Арбитражного суда Дальневосточного округа от 27.04.2021 указанные судебные акты оставлены без изменения. ФТС России обратилась в Верховный Суд Российской Федерации с кассационной жалобой на состоявшиеся по делу судебные акты, ссылаясь на допущенные, по ее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121, 122 Федерального закона от 27.11.2010 № 311-ФЗ «О таможенном регулировании в Российской Федерации», суды удовлетворили требования, признав, что заявление подано в пределах установленного срока, таможенным органом не доказана правомерность списания спорной суммы как невостребованной. Приведенные в жалобе доводы были предметом изучения судов и отклонены, в том числе, с учетом правовой позиции, изложенной в пункте 16 Обзора судебной практики Верховного Суда Российской Федерации № 2 (2018), утвержденного Президиумом Верховного Суда Российской Федерации 04.07.2018. Доводы жалобы не подтверждают существенные нарушения норм материального и (или) процессуального права, которые могли повлиять на исход дела, и не являются достаточными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