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и порядок восстановления срока подачи кассационной жалобы указаны в статье 117, пунктах 2, 3 статьи 291.2 Арбитражного процессуального кодекса Российской Федерации. Оценив доводы, изложенные в ходатайстве заявителя, суд признает причины пропуска срока подачи кассационной жалобы уважительными. В связи с чем, ходатайство подлежит удовлетворению. Руководствуясь статьями 117, 184,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 восстановлении пропущенного процессуального срока подачи кассационной жалобы. 2 Восстановить срок подачи кассационной жалобы на определение Арбитражного суда Самарской области от 30.12.2020, постановление Одиннадцатого арбитражного апелляционного суда от 19.02.2021 и постановление Арбитражного суда Поволжского округа от 14.05.2021 по делу № А55-35271/2019. Судья Верховного Суда И.А. Букина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