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02.10.2020, оставленным без изменения постановлением Девятого арбитражного апелляционного суда от 22.12.2020, в иске отказано. Постановлением Арбитражного суда Московского округа от 15.04.2021 указанные судебные акты оставлены без изменения. Предприниматель просит отменить состоявшиеся по делу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кассационной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установив, что в иске заявлено требование о взыскании стоимости за перевозку 2013 года, руководствуясь положениями статей 197 , 201 , 309 , 310 , 395 , 1102 Гражданского кодекса Российской Федерации, суды в иске отказали, признав, что истцом пропущен срок исковой давности, не доказано наличие у ответчика неосновательного обогащения в спорном размере. Доводы жалобы указанные выводы не опровергают, повторяют позицию предпринимателя по делу, являлись предметом рассмотрения судов и получили исчерпывающую правовую оценку с учетом конкретных установленных обстоятельств, связанных с определением момента, когда лицо узнало или должно было узнать о нарушении своего права и о том, кто является надлежащим ответчиком по иску о защите этого права.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ФГУП "Инженерно-Технический центр Министерства обороны Российской Федерации" (подробнее) Судьи дела: Першутов А.Г.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