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07.09.2020, оставленным без изменения постановлением Восемнадцатого арбитражного апелляционного суда от 30.12.2020, первоначальный иск удовлетворен частично, с учреждения в пользу общества взыскано 477 560 рублей задолженности; встречный иск удовлетворен частично, с общества в пользу учреждения взыскано 1 185 489 рублей убытков, 48 487,93 рублей штрафа, распределены судебные издержки; в результате зачета с общества в пользу учреждения взыскано 737 929 рублей убытков, 48 487,93 рублей штрафа, судебные издержки. Постановлением Арбитражного суда Уральского округа от 14.04.2021 постановление апелляционного суда оставлено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330, 702, 740, 753, 763 Гражданского кодекса Российской 3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и встречный иск частично, установив стоимость качественно выполненных работ и размер расходов на устранение недостатков. Доводы кассационной жалобы были предметом исследования судов и получили исчерпывающую правовую оценку с учетом установленных обстоятельств и представленных доказательств,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заявленные ходатайства об участии в судебном заседании путем использования систем видеоконференц-связи, о приостановлении исполнения судебных актов на основании части 3 статьи 291.6 Арбитражного процессуального кодекса Российской Федерации, не подлежат удовлетворению.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