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Свердловской области от 05.06.2020 в удовлетворении заявленного требования отказано. В дальнейшем предприниматель обратилась в арбитражный суд с заявлением о взыскании 35 000 рублей судебных расходов. Определением Арбитражного суда Свердловской области от 26.11.2020, оставленным без изменения постановлением Семнадцатого арбитражного апелляционного суда от 29.01.2021, заявленное требование удовлетворено частично, с Российской Федерации в лице МВД России за счет казны Российской Федерации в пользу предпринимателя взысканы расходы на оплату юридических услуг в сумме 15 000 рублей, в удовлетворении остальной части заявленных требований отказано. Постановлением Арбитражного суда Уральского округа от 13.04.2021 указанные судебные акты оставлены без изменения. МВД России в жалобе просит отменить обжалуемые судебные акты, считая их незаконными и необоснованными. Между тем,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Таких обстоятельств с учетом правовой позиции, изложенной в постановлениях Конституционного Суда РФ от 15.07.2020 № 36-П, от 15.07.2021 № 37-П, не установлено.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