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31.08.2020, оставленным без изменения постановлением Девятого арбитражного апелляционного суда от 07.12.2020, заявленные требования удовлетворены. 2 Постановлением Арбитражного суда Московского округа от 07.04.2021 указанные судебные акты оставлены без изменения. Таможенный орган обратился в Верховный Суд Российской Федерации с кассационной жалобой на состоявшиеся по делу судебные акты,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22, 27, 104, 108, 389 Таможенного кодекса Евразийского экономического союза, статей 198, 200 Арбитражного процессуального кодекса Российской Федерации, Основных правил интерпретации, суды удовлетворили требования, признав, что таможенным органом не доказана правомерность принятия оспариваемого решения о классификации спорного товара. Приведенные в жалобе доводы были предметом изучения судов и отклонены суда в отсутствие доказательств недостоверности представленных обществом документов. Доводы жалобы не подтверждают существенные нарушения норм материального и (или) процессуального права, которые могли повлиять на исход дела, и не являются достаточными для пересмотра обжалуемых судебных актов в кассационном порядке. Учитывая изложенное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