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14.09.2020, оставленным без изменения постановлением Шестнадцатого арбитражного апелляционного суда от 30.11.2020, в иске отказано. 2 Постановлением Арбитражного суда Северо-Кавказского округа от 08.04.2021 указанные судебные акты оставлены без изменения. Предприниматель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статей 382, 384, 385, 388, 931, 1064 Гражданского кодекса Российской Федерации, статей 7 и 12 Федерального закона от 25.04.2002 № 40-ФЗ «Об обязательном страховании гражданской ответственности владельцев транспортных средств», суды в иске отказали, не установив правовых оснований для выплаты страхового возмещения. Доводам кассационной жалобы, заявлявшимся в судах при рассмотрении дела, дана надлежащая правовая оценка с учетом конкретных установленных судами обстоятельств, связанных с непредоставлением потерпевшим транспортного средства на осмотр и невозможностью определить достоверность и стоимость ремонта, в связи с чем указанные доводы сводятся к переоценке установленных судами фактических обстоятельств, что не входит в 3 полномочия Верховного Суда Российской Федерации. Иных доводов в жалобе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