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23.11.2020 иск удовлетворен. Постановлением Восьмого арбитражного апелляционного суда от 20.02.2021 решение суда первой инстанции изменено, иск удовлетворен 2 частично, с ответчика в пользу взыскано 1 979 748,88 рублей. В остальной части в иске отказано. Постановлением Арбитражного суда Западно-Сибирского округа от 28.05.2021 постановление апелляционного суда оставлено без изменения. Общество просит отменить постановление апелляционного суда и постановление суда округа,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кассационной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711, 723, 753, 758 Гражданского кодекса Российской Федерации, апелляционный суд изменил решение суда первой инстанции, удовлетворил иск частично, признав факт выполнения работ до расторжения контракта, установив их потребительскую ценность, но снизив сумму задолженности на стоимость устранения недостатков работ. Суд округа согласился с выводами апелляционного суда. Доводы жалобы указанные выводы не опровергают, повторяют позицию общества по делу, являлись предметом рассмотрения судов апелляционной и кассационной инстанций и получили исчерпывающую правовую оценку с 3 учетом конкретных установленных обстоятельств, связанных с объемом выполненных работ и их качеством.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