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02.10.2020, оставленным без изменения постановлением Пятого арбитражного апелляционного суда от 03.12.2020, общество привлечено к административной 2 ответственности, предусмотренной частью 6 статьи 19.5 Кодекса Российской Федерации об административных правонарушениях, и ему назначено наказание в виде штрафа в размере 50 000 рублей. Постановлением Арбитражного суда Дальневосточного округа от 31.03.2021 указанные судебные акты оставлены без изменения. Общество просит принятые по делу судебные акты отменить, считая их незаконными и необоснованными. Исходя из доводов жалобы и дополнения к ней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Установив законность выданного предписания об устранении выявленных нарушений требований законодательства о градостроительной деятельности, факт его получения обществом и неисполнения в установленный предписанием срок, руководствуясь положениями Градостроительного кодекса, суды пришли к выводу о наличии в действиях (бездействии) общества состава правонарушения, за которое предусмотрена ответственность частью 6 статьи 19.5 Кодекса Российской Федерации об административных правонарушениях. Обжалуя судебные акты в Верховный Суд Российской Федерации, общество приводит доводы, которые являлись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