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06.08.2020, оставленным без изменения постановлением Девятого арбитражного апелляционного суда от 03.12.2020, заявленные требования удовлетворены. 2 Постановлением Арбитражного суда Московского округа от 08.04.2021 указанные судебные акты оставлены без изменения. Таможенный орган обратился в Верховный Суд Российской Федерации с кассационной жалобой на состоявшиеся по делу судебные акты,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22, 27, 104, 108 Таможенного кодекса Евразийского экономического союза, статей 198, 200 Арбитражного процессуального кодекса Российской Федерации, суды удовлетворили требования, признав, что таможенным органом не доказана правомерность принятия оспариваемого решения о классификации спорного товара. Приведенные в жалобе доводы были предметом изучения судов и отклонены с учетом правовой позиции, изложенной в пунктах 8, 22 постановления Пленума Верховного Суда Российской Федерации от 26.11.2019 № 49 «О некоторых вопросах, возникающих в судебной практике в связи с вступлением в законную силу Таможенного кодекса Евразийского экономического союза», в отсутствие доказательств недостоверности представленных документов. Доводы жалобы не подтверждают существенные нарушения норм материального и (или) процессуального права, которые могли повлиять на исход дела, и не являются достаточными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