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09.02.2021, оставленным без изменения постановлением Третьего арбитражного апелляционного суда от 26.03.2021, в удовлетворении требований отказано. 2 Постановлением Арбитражного суда Восточно-Сибирского округа от 01.06.2021 указанные судебные акты оставлены без изменения. Общество обратилось в Верховный Суд Российской Федерации с кассационной жалобой, в которой просит судебные акты отменить,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факт заключения обществом дополнительного соглашения, в результате чего были существенно изменены условия государственного контракта на выполнение ремонтно- реставрационных работ на объекте культурного наследия. Частью 4 статьи 7.32 Кодекса Российской Федерации об административных правонарушениях установлена административная ответственность за изменение условий контракта, в том числе увеличение цен товаров, работ, услуг, если возможность изменения условий контракта не предусмотрена законодательством Российской Федерации о контрактной системе в сфере закупок, за исключением случаев, предусмотренных частью 4.1 настоящей статьи. 3 Оценив представленные доказательства, руководствуясь положениями статей 34,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отказали в удовлетворении требований, признав доказанным наличие в действиях общества состава правонарушения, ответственность за которое установлена частью 4 статьи 7.32 Кодекса Российской Федерации об административных правонарушениях. Процедура и срок давности привлечения к административной ответственности соблюдены. Оснований для признания совершенного правонарушения малозначительным, назначении наказания ниже низшего размера санкции нормы или замены штрафа на предупреждение судами не установлено. Доводы жалобы были предметом изучения судов и получили исчерпывающую оценку с учетом специфики государственного (муниципального) контракта, а также спорных условий, которые необходимы для заключения контракта и должны в нем содержаться.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