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Красноярского края от 09.02.2021, оставленным без изменения постановлением Третьего арбитражного апелляционного суда от 30.03.2021, в удовлетворении требований отказано. 2 Постановлением Арбитражного суда Восточно-Сибирского округа от 01.06.2021 указанные судебные акты оставлены без изменения. Общество обратилось в Верховный Суд Российской Федерации с кассационной жалобой, в которой просит судебные акты отменить,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привлечения к ответственности послужил выявленный факт заключения обществом дополнительного соглашения, в результате чего были существенно изменены условия государственного контракта на выполнение ремонтно- реставрационных работ на объекте культурного наследия. Частью 4 статьи 7.32 Кодекса Российской Федерации об административных правонарушениях установлена административная ответственность за изменение условий контракта, в том числе увеличение цен товаров, работ, услуг, если возможность изменения условий контракта не предусмотрена законодательством Российской Федерации о контрактной системе в сфере закупок, за исключением случаев, предусмотренных частью 4.1 настоящей статьи. 3 Оценив представленные доказательства, руководствуясь положениями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суды отказали в удовлетворении требований, признав доказанным наличие в действиях общества состава правонарушения, ответственность за которое установлена частью 4 статьи 7.32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соблюдены. Оснований для признания совершенного правонарушения малозначительным, назначении наказания ниже низшего размера санкции нормы или замены штрафа на предупреждение судами не установлено. Доводы жалобы были предметом изучения судов и получили исчерпывающую оценку с учетом специфики государственного (муниципального) контракта, а также спорных условий, которые необходимы для заключения контракта и должны в нем содержаться.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