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02.09.2020, оставленным без изменения постановлением Девятого арбитражного апелляционного суда от 01.12.2020, заявленные требования удовлетворены. 2 Постановлением Арбитражного суда Московского округа от 31.03.2021 решение суда первой инстанции и постановление суда апелляционной инстанции отменены, в удовлетворении заявления предпринимателя отказано. В кассационной жалобе, поданной в Верховный Суд Российской Федерации, предприниматель, ссылаясь на существенное нарушение норм права, несоответствие выводов суда кассационной инстанции фактическим обстоятельствам дела,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агентство с жалобой о нарушении Административного регламента Федерального агентства железнодорожного транспорта предоставления государственной услуги по осуществлению пономерного учета железнодорожного подвижного состава, эксплуатируемого на железнодорожных путях общего и необщего пользования, утвержденного приказом Министерства транспорта Российской Федерации от 24.01.2018 № 28 (далее – Административный регламент). Жалоба мотивирована тем, что железнодорожные вагоны №№ 51694289, 51694297, 51694305 находились в собственности предпринимателя и были сданы в аренду, при этом согласно сведениям из информационной базы агентства собственниками вагонов значатся ООО «ТК Варма» и ООО «Форвард»; какие-либо сделки по распоряжению вагонами предпринимателем не совершались. Обращаясь в арбитражный суд, предприниматель указал, что сведения о собственниках спорных вагонов не исключены из информационной базы, запись о праве собственности предпринимателя не восстановлена. Удовлетворяя заявленные требования, суды первой и апелляционной инстанций исходили из незаконного бездействия агентства, повлекшего нарушение прав и интересов заявителя в предпринимательской деятельности. Суд кассационной инстанции счел выводы судов ошибочными. Отменяя решение суда первой и постановление суда апелляционной инстанций, суд округа, руководствуясь Административным регламентом, не усмотрел оснований для признания бездействия агентства незаконным. 3 Суд кассационной инстанции, отметив, что на момент рассмотрения спора между заявителем и третьими лицами существовал неразрешенный спор о праве, указал на невозможность рассмотрения требований предпринимателя о необходимости изменения в информационной базе сведений о собственниках спорных вагонов в рамках главы 24 Арбитражного процессуального кодекса Российской Федерации, при этом требований о незаконном бездействии, связанным с не рассмотрением жалобы предпринимателя, не заявлялось. Доводы, изложенные в жалобе, с учетом установленных фактических обстоятельств, выводы суда кассационной инстанции не опровергают. Несогласие заявителя с оценкой доказательств и с толкованием судом округа положений Административного регламента, не свидетельствуют о том, что судом допущены существенные нарушения норм материального права и (или) норм процессуального права, не позволившие всесторонне, полно и объективно рассмотреть дело. При изложенных обстоятельствах,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Надточий Елене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