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11.09.2020, оставленным без изменения постановлением Девятого арбитражного апелляционного суда от 21.12.2020, в удовлетворении заявленного требования отказано. 2 Постановлением Арбитражного суда Московского округа от 08.04.2021 указанные судебные акты оставлены без изменения. Не согласившись с названными судебными актами, общество обратилось в Верховный Суд Российской Федерации с кассационной жалобой, в которой просит их отменить, считая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и дополнения к ней отсутствуют. Как следует из судебных актов, основанием для привлечения к ответственности послужил выявленный административным органом факт осуществления обществом операций, расчеты по которым произведены, минуя счета в уполномоченных банках.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правонарушения, ответственность за совершение которого предусмотрена частью 1 статьи 15.25 Кодекса Российской Федерации об административных правонарушениях, признав, что зачисление денежных средств на счет, открытый в иностранном банке, по основаниям, не 3 предусмотренным статьей 12 Федерального закона от 10.12.2003 № 173-ФЗ «О валютном регулировании и валютном контроле», противоречит валютному законодательству; совершенная валютная операция не входит в число валютных операций, совершение которых предусмотрено без использования счетов в уполномоченных банках. Суды установили,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 нормы, оснований для применения положений статьи 2.9 Кодекса Российской Федерации об административных правонарушениях о малозначительности правонарушения не имеется. Несогласие заявителя с толкованием судебными инстанциями норм законодательства, подлежащих применению к спорным правоотношениям,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