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12.10.2020, оставленным без изменения постановлением Второго арбитражного апелляционного суда от 18.12.2020, в удовлетворении заявленных требований отказано. 2 Постановлением Арбитражного суда Волго-Вятского округа от 19.04.2021 указанные судебные акты оставлены без изменения. В кассационной жалобе, поступившей в Верховный Суд Российской Федерации, общество просит отменить состоявшиеся по делу судебные акты, ссылаясь на допущенные, по его мнению,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11, 346.11, 346.12 Налогового кодекса Российской Федерации, статей 48, 50, 113 Гражданского кодекса Российской Федерации, статьи 6 Федерального закона от 14.11.2002 № 161-ФЗ «О государственных и муниципальных унитарных предприятиях», суды пришли к выводу об отсутствии у общества правовых оснований для применения упрощенной системы налогообложения в спорный период, признав, что обществом превышены предельные разрешенные размеры в части наличия доли в уставном капитале иной организации. Доводы жалобы были предметом рассмотрения судов и получили исчерпывающую правовую оценку.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