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23.09.2020, оставленным без изменения постановлением Пятого арбитражного 2 апелляционного суда от 04.12.2020, в удовлетворении заявленного требования отказано. Постановлением Арбитражного суда Дальневосточного округа от 15.04.2021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таможенного органа о нарушении обществом сроков уплаты таможенных пошлин, налогов, подлежащих уплате в связи с перемещением товаров через таможенную границу. Статьей 16.22 Кодекса Российской Федерации об административных правонарушениях установлена ответственность за нарушение сроков уплаты таможенных пошлин, налогов, подлежащих уплате в связи с перемещением товаров через таможенную границу Таможенного союза. Оценив представленные доказательства, руководствуясь положениями статей 50, 117, 135, 136, 405 Таможенного кодекса Евразийского экономического союза, суды пришли к выводу о наличии в действиях общества состава правонарушения, ответственность за которое предусмотрена статьей 16.22 Кодекса Российской Федерации об административных правонарушениях. Суды установили,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нормы, оснований для применения положений статьи 2.9 Кодекса Российской Федерации об административных правонарушениях не имеется. 3 Несогласие заявителя с толкованием судебными инстанциями норм законодательства, подлежащих применению к спорным правоотношениям с учетом установленных судами фактическими обстоятельствами дела и оценкой доказательств,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