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27.08.2020, оставленным без изменения постановлением Девятого арбитражного апелляционного суда от 26.11.2020, в удовлетворении заявленного требования отказано. 2 Постановлением Арбитражного суда Московского округа от 07.04.2021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установлен факт заключения соглашения, реализация которого привела к поддержанию цен на торгах. Выявленное нарушение послужило основанием для вынесения оспариваемого постановления о привлечении общества к ответственности по части 2 статьи 14.32 Кодекса Российской Федерации об административных правонарушениях. Оценив представленные доказательства, руководствуясь положениями Федерального закона от 26.07.2006 № 135-ФЗ «О защите конкуренции», суды пришли к выводу о доказанности антимонопольным органом заключения хозяйствующими субъектами недопустимого в соответствии с 3 антимонопольным законодательством соглашения, установив наличие состава правонарушения, ответственность за совершение которого предусмотрена частью 2 статьи 14.32 Кодекса Российской Федерации об административных правонарушениях.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С учетом конкретных обстоятельств дела, приняв во внимание принцип соразмерности административного наказания, дифференциацию публично- правовой ответственности, суды признали назначенный размер штрафа правомерным исходя из того, что новая редакция части 2 статьи 14.32 Кодекса Российской Федерации об административных правонарушениях содержит санкцию за совершенное обществом нарушение в ее прежнем содержании, законодатель не изменил ни размер, ни способ расчета административного штрафа. Доводы об отклонении апелляционным судом дополнения к апелляционной жалобе не могут служить основанием для отмены судебных актов в отсутствие доказательств того, что участвующий в судебном заседании апелляционного суда представитель общества не мог приводить доводы по всем возникающим вопросам, при этом из жалобы не следует, как указанное обстоятельство привело или могло привести к принятию неправильного судебного акта. Также в жалобе не указано, какие конкретно документы, возражения и объяснения общество было лишено возможности представить по существу рассматриваемого дела, и как это могло повлиять на принятие судебных актов.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