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условия и порядок восстановления срока подачи кассационной жалобы указаны в статье 117, пунктах 2, 3 статьи 291.2 Арбитражного процессуального кодекса Российской Федерации. Оценив доводы, изложенные в ходатайстве заявителя, суд признает причины пропуска срока подачи кассационной жалобы уважительными. В связи с чем, ходатайство подлежит удовлетворению. Руководствуясь статьями 117, 184, 291.2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удовлетворить ходатайство о восстановлении пропущенного процессуального срока подачи кассационной жалобы. 2 Восстановить срок подачи кассационной жалобы на определение Девятого арбитражного апелляционного суда от 30.03.2021 и постановление Арбитражного суда Московского округа от 21.05.2021 по делу № А40-220908/2019. Судья Верховного Суда И.А. Букина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