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 и порядок восстановления срока подачи кассационной жалобы указаны в статье 117, пунктах 2, 3 статьи 291.2 Арбитражного процессуального кодекса Российской Федерации. Оценив доводы, изложенные в ходатайстве заявителя, суд признает причины пропуска срока подачи кассационной жалобы уважительными. В связи с чем, ходатайство подлежит удовлетворению. Руководствуясь статьями 117, 184,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 восстановлении пропущенного процессуального срока подачи кассационной жалобы. 2 Восстановить срок подачи кассационной жалобы на определение Арбитражного суда Саратовской области от 04.12.2020, постановление Двенадцатого арбитражного апелляционного суда от 12.02.2021 и постановление Арбитражного суда Поволжского округа от 21.05.2021 по делу № А57-1762/2020. Судья Верховного Суда И.А. Букина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