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06.10.2020 заявленные требования удовлетворены, общество «Почта России» привлечено к 2 административной ответственности, предусмотренной частью 3 статьи 14.1 Кодекса Российской Федерации об административных правонарушениях и ему назначено наказание в виде штрафа в размере 30 000 рублей. Общество «Трейд-Фарм» обратилось в суд с заявлением о взыскании судебных расходов на оплату услуг представителя в размере 6000 рублей. Определением Арбитражного суда Свердловской области от 30.12.2020, оставленным без изменения постановлением Семнадцатого арбитражного апелляционного суда от 12.03.2021, заявленные требования удовлетворены частично, с общества «Почта России» в пользу общества «Трейд-Фарм» взыскано 3000 рублей, в удовлетворении остальной части требований отказано. Общество «Трейд-Фарм» в жалобе просит отменить обжалуемые судебные акты в части отказа в удовлетворении требований, считая их незаконными и необоснованными в указанной части.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Суды, признав факт несения расходов подтвержденным, принимая во внимание характер спора, сложность дела, фактический объем оказанных 3 юридических услуг, взыскали судебные расходы, связанные с оплатой услуг представителя, в указанном размере. Доводы жалобы повторяют позицию общества «Трейд-Фарм» по делу, являлись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