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03.06.2021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незначительность его пропуска (1 день),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капитального строительства и благоустройства администрации Озерского городского округа Челябинской области о восстановлении пропущенного срока удовлетворить, срок на подачу кассационной жалобы восстановить. Судья Верховного Суда А.Г. ПершутовРоссийской Федерации Суд: Верховный Суд РФ (подробнее) Истцы: ООО "Синтез-ПК" (подробнее) Ответчики: Управление капитального строительства и благоустройства администрации Озерского городского округа Челябинской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