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22.07.2021 направила в Верховный Суд Российской Федерации кассационную жалобу на указанные судебные акты и одновременно заявила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В ходатайстве о восстановлении пропущенного процессуального срока заявитель ссылается на то, что он заблуждался о порядке обжалования судебного акта апелляционного суда, указавшего на отсутствие возможности обжалования постановления в кассационном порядке. Рассмотрев ходатайство о восстановлении пропущенного процессуального срока подачи кассационной жалобы, судья не находит оснований для его удовлетворения, поскольку неправильное толкование заявителем арбитражного процессуального законодательства не может расцениваться в качестве объективной причины пропуска срока и служить основанием для его восстановления. Поскольку в ходатайстве не приведено обстоятельств, свидетельствующих о том, что процессуальный срок пропущен по причинам, не зависящим от заявителя, оснований для его удовлетворения не имеется.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При таких обстоятельствах ходатайство заявителя о восстановлении пропущенного срока следует оставить без удовлетворения, а кассационную жалобу - возвратить заявителю.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Никольских Ульяны Владимировны о восстановлении пропущенного срока отказать, кассационную жалобу возвратить заявителю.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