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15.09.2020, оставленным без изменения постановлением Двадцатого арбитражного апелляционного суда от 28.12.2020, в удовлетворении требований отказано. Постановлением Арбитражного суда Центрального округа от 08.04.2021 указанные судебные акты оставлены без изменения. 2 Общество просит отменить обжалуемые судебные акты, считая их принятыми с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и дополнении к ней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169, 171, 172, 252, 265 Налогового кодекса Российской Федерации, правовой позицией, изложенной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отказали в удовлетворении заявленных требований, установив обстоятельства, на основании которых пришли к выводу о намерении общества получить необоснованную налоговую выгоду в отсутствие реальных хозяйственных операций со спорными контрагентами и которые не соответствовали действительным событиям; суды также признали, что земельные участки не отвечают требованиям подпункта 1 пункта 1 статьи 394 Налогового кодекса Российской Федерации в целях применения пониженной ставки земельного налога. 3 Приведенные в жалобе доводы были предметом исследования судов и получили исчерпывающую правовую оценку применительно к установленным обстоятельствам и представленным доказательствам,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