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22.07.2021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В ходатайстве о восстановлении пропущенного процессуального срока заявитель ссылается на то, что он заблуждался о порядке обжалования судебного акта апелляционного суда, указавшего на отсутствие возможности обжалования постановления в кассационном порядке. Рассмотрев ходатайство о восстановлении пропущенного процессуального срока подачи кассационной жалобы, судья не находит оснований для его удовлетворения, поскольку неправильное толкование заявителем арбитражного процессуального законодательства не может расцениваться в качестве объективной причины пропуска срока и служить основанием для его восстановления.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При таких обстоятельствах ходатайство заявителя о восстановлении пропущенного срока следует оставить без удовлетворения, а кассационную жалобу - возвратить заявителю.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Никольских Николая Павловича о восстановлении пропущенного срока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