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01.12.2020, оставленным без изменения постановлением Пятнадцатого арбитражного апелляционного суда от 11.02.2021, в иске отказано. Постановлением Арбитражного суда Северо-Кавказского округа от 19.05.2021 указанные судебные акты оставлены без изменения. 2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 и установив отсутствие заключенного муниципального контракта на выполнение спорных работ, руководствуясь положениями статей 1102, 1105, 1107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разъяснений, приведенных в пункте 22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от 28.06.2017, в пункте 4 раздела II Обзора судебной практики Верховного Суда Российской Федерации № 3 (2015), утвержденного Президиумом Верховного Суда Российской Федерации 25.11.2015, суды отказали в иске, не установив неотложный характер работ при чрезвычайных обстоятельствах, с которым 3 закон связывал возможность выполнения работ обеспечения государственных нужд в отсутствие заключенного государственного контракта, а также признав недоказанным факт выполнения спорных работ, их объем и стоимость. Доводы кассационной жалобы о наличии оснований для взыскания с ответчика стоимости работ, заявлявшимся в судах при рассмотрении дела, дана надлежащая правовая оценка, указанные доводы сводятся к переоценке установленных судами фактических обстоятельств, что не входит в полномочия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