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23.03.2020, оставленным без изменения постановлением Девятого арбитражного апелляционного суда от 09.11.2020 и постановлением Арбитражного суда Московского округа от 27.04.2021, с общества в пользу предпринимателя взыскано 476 535 руб. 61 коп.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329 , 330 Гражданского кодекса Российской Федерации, пришли к выводу о наличии оснований для взыскания с общества неустойки, снизив ее размер по ходатайству последнего в соответствии со статьей 333 Гражданского кодекса Российской Федерации. Суд округа согласился с выводами судов первой и апелляционной инстанций, отклонив доводы общества о прекращении правоотношений со ссылкой на расторжение заключенного сторонами мирового соглашения. Изложенные в кассационной жалобе доводы не свидетельствуют о наличии существенных нарушений норм материального права и (или) процессуального права, повлиявших на исход дела, и не могут служить достаточными основаниями для отмены обжалуемых судебных актов, принятых исходя из конкретных обстоятельств спора.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«Юлора»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"ЮЛОРА"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